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PANDEMIC UNEMPLOYMENT INSURANCE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BENEFITS EXPANDED IN THREE (3) WAYS IN RESPONSE TO COVID-19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Pandemic Unemployment Assistance (PUA) assists those who previously would not have qualified for unemployment for reasons such as:</w:t>
      </w:r>
    </w:p>
    <w:p w:rsidR="00000000" w:rsidDel="00000000" w:rsidP="00000000" w:rsidRDefault="00000000" w:rsidRPr="00000000" w14:paraId="00000006">
      <w:pPr>
        <w:numPr>
          <w:ilvl w:val="0"/>
          <w:numId w:val="1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short work history</w:t>
      </w:r>
    </w:p>
    <w:p w:rsidR="00000000" w:rsidDel="00000000" w:rsidP="00000000" w:rsidRDefault="00000000" w:rsidRPr="00000000" w14:paraId="00000007">
      <w:pPr>
        <w:numPr>
          <w:ilvl w:val="0"/>
          <w:numId w:val="1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self employed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Pandemic Unemployment Compensation (PUC)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Provides an additional $600 per week for all unemployment recipients, including persons receiving Pandemic Unemployment assistance (PUA) (such as self employed). Pays thru July 31, 2020.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Pandemic Emergency Unemployment Compensation (PEUC)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Provides additional weeks of benefits for persons who run out of state benefits.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Results in more people being eligible, benefits will be more, and benefits will last longer.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amount, timing, and type of unemployment benefit will likely affect eligibility for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SNAP (Food stamps)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Medicaid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TANF(Temporary Assistance for needy families)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OF UNEMPLOYMENT ON SNAP, MEDICAID, TANF ELIGIBILITY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SNAP application-for those already receiving unemployment, full amount of benefits count as unearned income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Medicaid-additional $600 per week from Pandemic unemployment compensation (PUC) is not counted for eligibility.  Other unemployment benefits are counted for eligibility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TANF-States have flexibility in deciding whether or not to count benefits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Most states count full amount/all sources of unemployment as income for TANF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 states do not count the additional $600 per week from PUC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 agencies (MDHS and Medicaid) can provide information on expanded benefits.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 agencies can encourage persons to apply for additional benefits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Mississippi excludes the additional $600 payment. Only the regular payment is counted towards qualification during COVID-19. </w:t>
      </w:r>
    </w:p>
    <w:p w:rsidR="00000000" w:rsidDel="00000000" w:rsidP="00000000" w:rsidRDefault="00000000" w:rsidRPr="00000000" w14:paraId="0000002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OF UI ON PEOPLE ALREADY ENROLLED IN SNAP, MEDICAID or TANF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Persons approved for unemployment may need to report UI income to state agency.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Benefits of UI income may affect SNAP, Medicaid or TANF benefits.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ON SPECIFIC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SNAP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unemployment benefits, including additional $600 per week, count as income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Unemployment benefits may reduce SNAP benefits for household. They may continue receiving maximum benefit if State is issuing emergency allotments during COVID-19.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other households, unemployment benefits may make them ineligible.</w:t>
      </w:r>
    </w:p>
    <w:p w:rsidR="00000000" w:rsidDel="00000000" w:rsidP="00000000" w:rsidRDefault="00000000" w:rsidRPr="00000000" w14:paraId="0000002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Medicaid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States must keep enrollees covered through the end of the health emergency as a condition of receiving increased federal Medicaid funds.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Medicaid enrollees who begin receiving unemployment must not lose Medicaid.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$600 per week as additional unemployment does not count as income.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TANF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States have flexibility in how to consider income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States generally treat unemployment benefits as income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Receipt of unemployment will likely make a household ineligible, unless the State chooses to exclude the unemployment from CARES Act as disaster relief.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Mississippi does not exclude unemployment under CARES Act as disaster relief</w:t>
        <w:tab/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 Mississippi applicant must not own any property (except home) or have cash or resources with a combined value over $2000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REQUIREMENTS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Many states have system where state unemployment benefits are automatically reported to other agency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new $600 benefits and other new UI benefits may not be reported in automated system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Clients may need to report UI if  state system is not fully data matched.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Mississippi has an automated data match system called IVES that reports and matches agency information.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SNAP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Must report changes when income exceeds 130% of poverty for household size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 $600 per week UI, may put household over eligibility and household must report change.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need to report change within 10 days of receipt of UI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there is an asset test, a lump sum payment may be counted as an asset 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Mississippi does not have an asset test, but does count resources such as cash on hand and equity value of $1500 in funeral insurance.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 Mississippi a lump sum payment may result in loss of eligibility for one or more months-if the payment is added to other countable resources and the total exceeds $2000 limitation.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Medicaid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Generally-Must report changes that affect eligibility</w:t>
        <w:tab/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Since recipients cannot lose their coverage right now, even if there is increase in income, should not need to report unemployment.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lump sum payment is usually considered as income in month received, but a lump sum payment right now will not affect eligibility.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TANF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Varies by state, but in most situations, must report upon receipt of unemployment.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Mississippi requires that recipients report any and all income.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spacing w:line="276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Contact MS Center for Legal Services at 800-498-1804 or go online for more resources</w:t>
    </w:r>
  </w:p>
  <w:p w:rsidR="00000000" w:rsidDel="00000000" w:rsidP="00000000" w:rsidRDefault="00000000" w:rsidRPr="00000000" w14:paraId="00000051">
    <w:pPr>
      <w:spacing w:line="276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http://www.mscenterforlegalservices.org/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ind w:firstLine="72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5314950</wp:posOffset>
          </wp:positionH>
          <wp:positionV relativeFrom="page">
            <wp:posOffset>257175</wp:posOffset>
          </wp:positionV>
          <wp:extent cx="2043113" cy="551460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551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