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5C5C" w14:textId="2A891191" w:rsidR="00BB494C" w:rsidRPr="00EF58FB" w:rsidRDefault="00EF58FB">
      <w:pPr>
        <w:jc w:val="center"/>
        <w:rPr>
          <w:b/>
          <w:sz w:val="36"/>
          <w:szCs w:val="36"/>
          <w:lang w:val="es-ES"/>
        </w:rPr>
      </w:pPr>
      <w:r w:rsidRPr="00EF58FB">
        <w:rPr>
          <w:b/>
          <w:sz w:val="36"/>
          <w:szCs w:val="36"/>
          <w:lang w:val="es-ES"/>
        </w:rPr>
        <w:t xml:space="preserve">SEGURO DE DESEMPLEO PANDEMICO </w:t>
      </w:r>
    </w:p>
    <w:p w14:paraId="525D0C1D" w14:textId="77777777" w:rsidR="00BB494C" w:rsidRPr="00EF58FB" w:rsidRDefault="00BB494C">
      <w:pPr>
        <w:rPr>
          <w:lang w:val="es-ES"/>
        </w:rPr>
      </w:pPr>
    </w:p>
    <w:p w14:paraId="56A69471" w14:textId="75DD14FE" w:rsidR="00BB494C" w:rsidRPr="00EF58FB" w:rsidRDefault="00EF58FB">
      <w:pPr>
        <w:jc w:val="center"/>
        <w:rPr>
          <w:b/>
          <w:sz w:val="24"/>
          <w:szCs w:val="24"/>
          <w:lang w:val="es-ES"/>
        </w:rPr>
      </w:pPr>
      <w:r w:rsidRPr="00EF58FB">
        <w:rPr>
          <w:b/>
          <w:sz w:val="24"/>
          <w:szCs w:val="24"/>
          <w:lang w:val="es-ES"/>
        </w:rPr>
        <w:t>BENEFICIOS EXPANDIDOS EN TRES (3) FORMAS EN RESPUESTA AL</w:t>
      </w:r>
      <w:r w:rsidR="00810B5A" w:rsidRPr="00EF58FB">
        <w:rPr>
          <w:b/>
          <w:sz w:val="24"/>
          <w:szCs w:val="24"/>
          <w:lang w:val="es-ES"/>
        </w:rPr>
        <w:t xml:space="preserve"> COVID-19</w:t>
      </w:r>
    </w:p>
    <w:p w14:paraId="4F99A012" w14:textId="3D7B5A52" w:rsidR="00BB494C" w:rsidRPr="00EF58FB" w:rsidRDefault="00EF58FB">
      <w:pPr>
        <w:rPr>
          <w:lang w:val="es-ES"/>
        </w:rPr>
      </w:pPr>
      <w:r w:rsidRPr="00EF58FB">
        <w:rPr>
          <w:lang w:val="es-ES"/>
        </w:rPr>
        <w:br/>
      </w:r>
    </w:p>
    <w:p w14:paraId="0B838AA3" w14:textId="5BC0F6E1" w:rsidR="00EF58FB" w:rsidRPr="00EF58FB" w:rsidRDefault="00EF58FB" w:rsidP="00EF58FB">
      <w:pPr>
        <w:numPr>
          <w:ilvl w:val="0"/>
          <w:numId w:val="7"/>
        </w:numPr>
        <w:rPr>
          <w:lang w:val="es-ES"/>
        </w:rPr>
      </w:pPr>
      <w:r w:rsidRPr="00EF58FB">
        <w:rPr>
          <w:lang w:val="es-ES"/>
        </w:rPr>
        <w:t xml:space="preserve">La Asistencia de </w:t>
      </w:r>
      <w:r>
        <w:rPr>
          <w:lang w:val="es-ES"/>
        </w:rPr>
        <w:t>D</w:t>
      </w:r>
      <w:r w:rsidRPr="00EF58FB">
        <w:rPr>
          <w:lang w:val="es-ES"/>
        </w:rPr>
        <w:t xml:space="preserve">esempleo </w:t>
      </w:r>
      <w:r>
        <w:rPr>
          <w:lang w:val="es-ES"/>
        </w:rPr>
        <w:t>P</w:t>
      </w:r>
      <w:r w:rsidRPr="00EF58FB">
        <w:rPr>
          <w:lang w:val="es-ES"/>
        </w:rPr>
        <w:t>andémico (PUA, por sus siglas en inglés) ayuda a aquellos que anteriormente no habrían calificado para el desempleo por razones tales como:</w:t>
      </w:r>
    </w:p>
    <w:p w14:paraId="506A54D3" w14:textId="77777777" w:rsidR="00EF58FB" w:rsidRPr="00EF58FB" w:rsidRDefault="00EF58FB" w:rsidP="00EF58FB">
      <w:pPr>
        <w:ind w:left="720" w:firstLine="720"/>
        <w:rPr>
          <w:lang w:val="es-ES"/>
        </w:rPr>
      </w:pPr>
      <w:r w:rsidRPr="00EF58FB">
        <w:rPr>
          <w:lang w:val="es-ES"/>
        </w:rPr>
        <w:t>- breve historia laboral</w:t>
      </w:r>
    </w:p>
    <w:p w14:paraId="73B76F4C" w14:textId="5B3EBD0B" w:rsidR="00BB494C" w:rsidRDefault="00EF58FB" w:rsidP="00EF58FB">
      <w:pPr>
        <w:ind w:left="720" w:firstLine="720"/>
        <w:rPr>
          <w:lang w:val="es-ES"/>
        </w:rPr>
      </w:pPr>
      <w:r w:rsidRPr="00EF58FB">
        <w:rPr>
          <w:lang w:val="es-ES"/>
        </w:rPr>
        <w:t>-</w:t>
      </w:r>
      <w:r>
        <w:rPr>
          <w:lang w:val="es-ES"/>
        </w:rPr>
        <w:t xml:space="preserve"> t</w:t>
      </w:r>
      <w:r w:rsidRPr="00EF58FB">
        <w:rPr>
          <w:lang w:val="es-ES"/>
        </w:rPr>
        <w:t>rabajadores por cuenta propia</w:t>
      </w:r>
    </w:p>
    <w:p w14:paraId="10E72D56" w14:textId="77777777" w:rsidR="00EF58FB" w:rsidRPr="00EF58FB" w:rsidRDefault="00EF58FB" w:rsidP="00EF58FB">
      <w:pPr>
        <w:ind w:left="720" w:firstLine="720"/>
        <w:rPr>
          <w:lang w:val="es-ES"/>
        </w:rPr>
      </w:pPr>
    </w:p>
    <w:p w14:paraId="3AC4A75E" w14:textId="5C236D7B" w:rsidR="00EF58FB" w:rsidRPr="00CF5B56" w:rsidRDefault="00EF58FB" w:rsidP="00CF5B56">
      <w:pPr>
        <w:numPr>
          <w:ilvl w:val="0"/>
          <w:numId w:val="7"/>
        </w:numPr>
        <w:rPr>
          <w:lang w:val="es-ES"/>
        </w:rPr>
      </w:pPr>
      <w:r w:rsidRPr="00CF5B56">
        <w:rPr>
          <w:lang w:val="es-ES"/>
        </w:rPr>
        <w:t xml:space="preserve">Compensación por </w:t>
      </w:r>
      <w:r w:rsidR="00CF5B56">
        <w:rPr>
          <w:lang w:val="es-ES"/>
        </w:rPr>
        <w:t>D</w:t>
      </w:r>
      <w:r w:rsidRPr="00CF5B56">
        <w:rPr>
          <w:lang w:val="es-ES"/>
        </w:rPr>
        <w:t xml:space="preserve">esempleo </w:t>
      </w:r>
      <w:r w:rsidR="00CF5B56">
        <w:rPr>
          <w:lang w:val="es-ES"/>
        </w:rPr>
        <w:t>P</w:t>
      </w:r>
      <w:r w:rsidRPr="00CF5B56">
        <w:rPr>
          <w:lang w:val="es-ES"/>
        </w:rPr>
        <w:t>andémico (PUC)</w:t>
      </w:r>
    </w:p>
    <w:p w14:paraId="11ED398D" w14:textId="18E69D20" w:rsidR="00EF58FB" w:rsidRPr="00201209" w:rsidRDefault="00EF58FB" w:rsidP="00EF58FB">
      <w:pPr>
        <w:numPr>
          <w:ilvl w:val="0"/>
          <w:numId w:val="6"/>
        </w:numPr>
        <w:rPr>
          <w:lang w:val="es-ES"/>
        </w:rPr>
      </w:pPr>
      <w:r w:rsidRPr="00EF58FB">
        <w:rPr>
          <w:lang w:val="es-ES"/>
        </w:rPr>
        <w:t xml:space="preserve">Proporciona $600 adicionales por semana para todos los beneficiarios de desempleo, incluidas las personas que reciben asistencia de desempleo pandémico (PUA) (como los trabajadores independientes). </w:t>
      </w:r>
      <w:r w:rsidRPr="00201209">
        <w:rPr>
          <w:lang w:val="es-ES"/>
        </w:rPr>
        <w:t>Paga hasta el 31 de julio de 2020.</w:t>
      </w:r>
    </w:p>
    <w:p w14:paraId="37F94E30" w14:textId="77777777" w:rsidR="00BB494C" w:rsidRPr="00201209" w:rsidRDefault="00BB494C">
      <w:pPr>
        <w:rPr>
          <w:lang w:val="es-ES"/>
        </w:rPr>
      </w:pPr>
    </w:p>
    <w:p w14:paraId="4B2FFD11" w14:textId="20F9F3EF" w:rsidR="00201209" w:rsidRPr="00201209" w:rsidRDefault="00201209" w:rsidP="00201209">
      <w:pPr>
        <w:numPr>
          <w:ilvl w:val="0"/>
          <w:numId w:val="7"/>
        </w:numPr>
        <w:rPr>
          <w:lang w:val="es-ES"/>
        </w:rPr>
      </w:pPr>
      <w:r w:rsidRPr="00201209">
        <w:rPr>
          <w:lang w:val="es-ES"/>
        </w:rPr>
        <w:t xml:space="preserve">Compensación de </w:t>
      </w:r>
      <w:r>
        <w:rPr>
          <w:lang w:val="es-ES"/>
        </w:rPr>
        <w:t>E</w:t>
      </w:r>
      <w:r w:rsidRPr="00201209">
        <w:rPr>
          <w:lang w:val="es-ES"/>
        </w:rPr>
        <w:t xml:space="preserve">mergencia por </w:t>
      </w:r>
      <w:r>
        <w:rPr>
          <w:lang w:val="es-ES"/>
        </w:rPr>
        <w:t>D</w:t>
      </w:r>
      <w:r w:rsidRPr="00201209">
        <w:rPr>
          <w:lang w:val="es-ES"/>
        </w:rPr>
        <w:t xml:space="preserve">esempleo </w:t>
      </w:r>
      <w:r>
        <w:rPr>
          <w:lang w:val="es-ES"/>
        </w:rPr>
        <w:t>P</w:t>
      </w:r>
      <w:r w:rsidRPr="00201209">
        <w:rPr>
          <w:lang w:val="es-ES"/>
        </w:rPr>
        <w:t>andémico (PEUC)</w:t>
      </w:r>
    </w:p>
    <w:p w14:paraId="0B0C584F" w14:textId="69673599" w:rsidR="00201209" w:rsidRPr="00201209" w:rsidRDefault="00201209" w:rsidP="00201209">
      <w:pPr>
        <w:numPr>
          <w:ilvl w:val="0"/>
          <w:numId w:val="9"/>
        </w:numPr>
        <w:rPr>
          <w:lang w:val="es-ES"/>
        </w:rPr>
      </w:pPr>
      <w:r w:rsidRPr="00201209">
        <w:rPr>
          <w:lang w:val="es-ES"/>
        </w:rPr>
        <w:t>Proporciona semanas adicionales de beneficios para personas que se quedan sin beneficios estatales.</w:t>
      </w:r>
    </w:p>
    <w:p w14:paraId="3F1F8538" w14:textId="4A679403" w:rsidR="00201209" w:rsidRPr="00201209" w:rsidRDefault="00201209" w:rsidP="00201209">
      <w:pPr>
        <w:numPr>
          <w:ilvl w:val="0"/>
          <w:numId w:val="9"/>
        </w:numPr>
        <w:rPr>
          <w:lang w:val="es-ES"/>
        </w:rPr>
      </w:pPr>
      <w:r w:rsidRPr="00201209">
        <w:rPr>
          <w:lang w:val="es-ES"/>
        </w:rPr>
        <w:t>Resulta en que más personas son elegibles, los beneficios serán más y los beneficios durarán más.</w:t>
      </w:r>
    </w:p>
    <w:p w14:paraId="3CE73096" w14:textId="77777777" w:rsidR="00BB494C" w:rsidRPr="00201209" w:rsidRDefault="00BB494C">
      <w:pPr>
        <w:rPr>
          <w:lang w:val="es-ES"/>
        </w:rPr>
      </w:pPr>
    </w:p>
    <w:p w14:paraId="6A5D5901" w14:textId="7FA2FE6B" w:rsidR="00EC45E5" w:rsidRPr="00EC45E5" w:rsidRDefault="00EC45E5" w:rsidP="00EC45E5">
      <w:pPr>
        <w:numPr>
          <w:ilvl w:val="0"/>
          <w:numId w:val="7"/>
        </w:numPr>
        <w:rPr>
          <w:lang w:val="es-ES"/>
        </w:rPr>
      </w:pPr>
      <w:r w:rsidRPr="00EC45E5">
        <w:rPr>
          <w:lang w:val="es-ES"/>
        </w:rPr>
        <w:t>La cantidad, el tiempo y el tipo de beneficio de desempleo probablemente afectarán la elegibilidad para</w:t>
      </w:r>
    </w:p>
    <w:p w14:paraId="1A2C6FCE" w14:textId="77777777" w:rsidR="00EC45E5" w:rsidRPr="00EC45E5" w:rsidRDefault="00EC45E5" w:rsidP="00EC45E5">
      <w:pPr>
        <w:ind w:firstLine="720"/>
        <w:rPr>
          <w:lang w:val="es-ES"/>
        </w:rPr>
      </w:pPr>
      <w:r w:rsidRPr="00EC45E5">
        <w:rPr>
          <w:lang w:val="es-ES"/>
        </w:rPr>
        <w:t>- SNAP (cupones de alimentos)</w:t>
      </w:r>
    </w:p>
    <w:p w14:paraId="35C9EFA7" w14:textId="77777777" w:rsidR="00EC45E5" w:rsidRPr="00EC45E5" w:rsidRDefault="00EC45E5" w:rsidP="00EC45E5">
      <w:pPr>
        <w:ind w:left="720"/>
        <w:rPr>
          <w:lang w:val="es-ES"/>
        </w:rPr>
      </w:pPr>
      <w:r w:rsidRPr="00EC45E5">
        <w:rPr>
          <w:lang w:val="es-ES"/>
        </w:rPr>
        <w:t>- Medicaid</w:t>
      </w:r>
    </w:p>
    <w:p w14:paraId="2586E744" w14:textId="3F65BE7B" w:rsidR="00BB494C" w:rsidRDefault="00EC45E5" w:rsidP="00EC45E5">
      <w:pPr>
        <w:ind w:firstLine="720"/>
        <w:rPr>
          <w:lang w:val="es-ES"/>
        </w:rPr>
      </w:pPr>
      <w:r w:rsidRPr="00EC45E5">
        <w:rPr>
          <w:lang w:val="es-ES"/>
        </w:rPr>
        <w:t>- TANF (Asistencia temporal para familias necesitadas)</w:t>
      </w:r>
    </w:p>
    <w:p w14:paraId="3D494D66" w14:textId="77777777" w:rsidR="00EC45E5" w:rsidRPr="00EC45E5" w:rsidRDefault="00EC45E5" w:rsidP="00EC45E5">
      <w:pPr>
        <w:ind w:firstLine="720"/>
        <w:rPr>
          <w:lang w:val="es-ES"/>
        </w:rPr>
      </w:pPr>
    </w:p>
    <w:p w14:paraId="420EB9BC" w14:textId="32CB7AC8" w:rsidR="00BB494C" w:rsidRDefault="00EC45E5">
      <w:pPr>
        <w:rPr>
          <w:b/>
          <w:sz w:val="24"/>
          <w:szCs w:val="24"/>
          <w:lang w:val="es-ES"/>
        </w:rPr>
      </w:pPr>
      <w:r w:rsidRPr="00EC45E5">
        <w:rPr>
          <w:b/>
          <w:sz w:val="24"/>
          <w:szCs w:val="24"/>
          <w:lang w:val="es-ES"/>
        </w:rPr>
        <w:t>IMPACTO DEL DESEMPLEO EN ELEGIBILIDAD DE SNAP, MEDICAID, TANF</w:t>
      </w:r>
    </w:p>
    <w:p w14:paraId="43321AD4" w14:textId="77777777" w:rsidR="00EC45E5" w:rsidRPr="00EC45E5" w:rsidRDefault="00EC45E5">
      <w:pPr>
        <w:rPr>
          <w:lang w:val="es-ES"/>
        </w:rPr>
      </w:pPr>
    </w:p>
    <w:p w14:paraId="49F83AC3" w14:textId="19D759ED" w:rsidR="00BB494C" w:rsidRPr="00EC45E5" w:rsidRDefault="00EC45E5">
      <w:pPr>
        <w:numPr>
          <w:ilvl w:val="0"/>
          <w:numId w:val="12"/>
        </w:numPr>
        <w:rPr>
          <w:lang w:val="es-ES"/>
        </w:rPr>
      </w:pPr>
      <w:r w:rsidRPr="00EC45E5">
        <w:rPr>
          <w:lang w:val="es-ES"/>
        </w:rPr>
        <w:t xml:space="preserve">Solicitud de SNAP: para aquellos que ya están </w:t>
      </w:r>
      <w:r>
        <w:rPr>
          <w:lang w:val="es-ES"/>
        </w:rPr>
        <w:t xml:space="preserve">recibiendo el </w:t>
      </w:r>
      <w:r w:rsidRPr="00EC45E5">
        <w:rPr>
          <w:lang w:val="es-ES"/>
        </w:rPr>
        <w:t>desempleado, la cantidad total de beneficios cuenta como ingresos no ganados</w:t>
      </w:r>
    </w:p>
    <w:p w14:paraId="52F32008" w14:textId="77777777" w:rsidR="00BB494C" w:rsidRPr="00EC45E5" w:rsidRDefault="00BB494C">
      <w:pPr>
        <w:rPr>
          <w:lang w:val="es-ES"/>
        </w:rPr>
      </w:pPr>
    </w:p>
    <w:p w14:paraId="5420C0E6" w14:textId="10F9DD90" w:rsidR="00BB494C" w:rsidRPr="00EC45E5" w:rsidRDefault="00810B5A">
      <w:pPr>
        <w:numPr>
          <w:ilvl w:val="0"/>
          <w:numId w:val="12"/>
        </w:numPr>
        <w:rPr>
          <w:lang w:val="es-ES"/>
        </w:rPr>
      </w:pPr>
      <w:r w:rsidRPr="00EC45E5">
        <w:rPr>
          <w:lang w:val="es-ES"/>
        </w:rPr>
        <w:t>Medicaid-</w:t>
      </w:r>
      <w:r w:rsidR="00EC45E5" w:rsidRPr="00EC45E5">
        <w:rPr>
          <w:lang w:val="es-ES"/>
        </w:rPr>
        <w:t xml:space="preserve"> $600 </w:t>
      </w:r>
      <w:r w:rsidR="00EC45E5">
        <w:rPr>
          <w:lang w:val="es-ES"/>
        </w:rPr>
        <w:t xml:space="preserve">adicionales </w:t>
      </w:r>
      <w:r w:rsidR="00EC45E5" w:rsidRPr="00EC45E5">
        <w:rPr>
          <w:lang w:val="es-ES"/>
        </w:rPr>
        <w:t>por semana de la compensación de desempleo pandémico (PUC) no se cuenta para la elegibilidad. Otros beneficios de desempleo se cuentan para la elegibilidad</w:t>
      </w:r>
    </w:p>
    <w:p w14:paraId="07952A46" w14:textId="77777777" w:rsidR="00BB494C" w:rsidRPr="00EC45E5" w:rsidRDefault="00BB494C">
      <w:pPr>
        <w:rPr>
          <w:lang w:val="es-ES"/>
        </w:rPr>
      </w:pPr>
    </w:p>
    <w:p w14:paraId="11AD932D" w14:textId="3FCF2DDC" w:rsidR="00842670" w:rsidRPr="00842670" w:rsidRDefault="00810B5A" w:rsidP="00842670">
      <w:pPr>
        <w:numPr>
          <w:ilvl w:val="0"/>
          <w:numId w:val="12"/>
        </w:numPr>
        <w:rPr>
          <w:lang w:val="es-ES"/>
        </w:rPr>
      </w:pPr>
      <w:r w:rsidRPr="00842670">
        <w:rPr>
          <w:lang w:val="es-ES"/>
        </w:rPr>
        <w:t>TANF-</w:t>
      </w:r>
      <w:r w:rsidR="00842670" w:rsidRPr="00842670">
        <w:rPr>
          <w:lang w:val="es-ES"/>
        </w:rPr>
        <w:t>Los estados tienen flexibilidad para decidir si cuentan o no los beneficios</w:t>
      </w:r>
    </w:p>
    <w:p w14:paraId="4AF3CDD0" w14:textId="77777777" w:rsidR="00842670" w:rsidRPr="00842670" w:rsidRDefault="00842670" w:rsidP="00842670">
      <w:pPr>
        <w:ind w:left="720"/>
        <w:rPr>
          <w:lang w:val="es-ES"/>
        </w:rPr>
      </w:pPr>
      <w:r w:rsidRPr="00842670">
        <w:rPr>
          <w:lang w:val="es-ES"/>
        </w:rPr>
        <w:t>- La mayoría de los estados cuentan el monto total / todas las fuentes de desempleo como ingresos para TANF</w:t>
      </w:r>
    </w:p>
    <w:p w14:paraId="062B7258" w14:textId="0A1F1E54" w:rsidR="00842670" w:rsidRPr="00842670" w:rsidRDefault="00842670" w:rsidP="00842670">
      <w:pPr>
        <w:ind w:firstLine="720"/>
        <w:rPr>
          <w:lang w:val="es-ES"/>
        </w:rPr>
      </w:pPr>
      <w:r w:rsidRPr="00842670">
        <w:rPr>
          <w:lang w:val="es-ES"/>
        </w:rPr>
        <w:t>- Algunos estados no cuentan los $600 adicionales por semana de PUC</w:t>
      </w:r>
    </w:p>
    <w:p w14:paraId="4BCE3BE9" w14:textId="77777777" w:rsidR="00842670" w:rsidRPr="00842670" w:rsidRDefault="00842670" w:rsidP="00842670">
      <w:pPr>
        <w:ind w:left="720"/>
        <w:rPr>
          <w:lang w:val="es-ES"/>
        </w:rPr>
      </w:pPr>
      <w:r w:rsidRPr="00842670">
        <w:rPr>
          <w:lang w:val="es-ES"/>
        </w:rPr>
        <w:lastRenderedPageBreak/>
        <w:t>- Las agencias estatales (MDHS y Medicaid) pueden proporcionar información sobre beneficios ampliados.</w:t>
      </w:r>
    </w:p>
    <w:p w14:paraId="41DD3E59" w14:textId="77777777" w:rsidR="00842670" w:rsidRPr="00842670" w:rsidRDefault="00842670" w:rsidP="00842670">
      <w:pPr>
        <w:ind w:firstLine="720"/>
        <w:rPr>
          <w:lang w:val="es-ES"/>
        </w:rPr>
      </w:pPr>
      <w:r w:rsidRPr="00842670">
        <w:rPr>
          <w:lang w:val="es-ES"/>
        </w:rPr>
        <w:t>- Las agencias estatales pueden alentar a las personas a solicitar beneficios adicionales</w:t>
      </w:r>
    </w:p>
    <w:p w14:paraId="29F8F730" w14:textId="7C1D10B7" w:rsidR="00BB494C" w:rsidRDefault="00842670" w:rsidP="00842670">
      <w:pPr>
        <w:ind w:left="720"/>
        <w:rPr>
          <w:lang w:val="es-ES"/>
        </w:rPr>
      </w:pPr>
      <w:r w:rsidRPr="00842670">
        <w:rPr>
          <w:lang w:val="es-ES"/>
        </w:rPr>
        <w:t xml:space="preserve">- </w:t>
      </w:r>
      <w:r w:rsidRPr="00842670">
        <w:rPr>
          <w:b/>
          <w:bCs/>
          <w:lang w:val="es-ES"/>
        </w:rPr>
        <w:t>Mississippi excluye el pago adicional de $600. Solo el pago regular se cuenta para la calificación durante COVID-19.</w:t>
      </w:r>
    </w:p>
    <w:p w14:paraId="7FB36D20" w14:textId="77777777" w:rsidR="00842670" w:rsidRPr="00842670" w:rsidRDefault="00842670" w:rsidP="00842670">
      <w:pPr>
        <w:ind w:left="720"/>
        <w:rPr>
          <w:b/>
          <w:sz w:val="24"/>
          <w:szCs w:val="24"/>
          <w:lang w:val="es-ES"/>
        </w:rPr>
      </w:pPr>
    </w:p>
    <w:p w14:paraId="6AAE4D7F" w14:textId="77777777" w:rsidR="00F9496C" w:rsidRPr="004F24DC" w:rsidRDefault="00F9496C" w:rsidP="00F9496C">
      <w:pPr>
        <w:jc w:val="center"/>
        <w:rPr>
          <w:b/>
          <w:sz w:val="24"/>
          <w:szCs w:val="24"/>
          <w:lang w:val="es-ES"/>
        </w:rPr>
      </w:pPr>
    </w:p>
    <w:p w14:paraId="009D08C7" w14:textId="77777777" w:rsidR="00F9496C" w:rsidRPr="00F9496C" w:rsidRDefault="00F9496C" w:rsidP="00F9496C">
      <w:pPr>
        <w:jc w:val="center"/>
        <w:rPr>
          <w:b/>
          <w:sz w:val="24"/>
          <w:szCs w:val="24"/>
          <w:lang w:val="es-ES"/>
        </w:rPr>
      </w:pPr>
      <w:r w:rsidRPr="00F9496C">
        <w:rPr>
          <w:b/>
          <w:sz w:val="24"/>
          <w:szCs w:val="24"/>
          <w:lang w:val="es-ES"/>
        </w:rPr>
        <w:t>IMPACTO DE IU EN LAS PERSONAS YA INSCRITAS EN SNAP, MEDICAID O TANF</w:t>
      </w:r>
    </w:p>
    <w:p w14:paraId="47632EF7" w14:textId="547BA717" w:rsidR="00F9496C" w:rsidRPr="00F9496C" w:rsidRDefault="00F9496C" w:rsidP="00F9496C">
      <w:pPr>
        <w:jc w:val="center"/>
        <w:rPr>
          <w:lang w:val="es-ES"/>
        </w:rPr>
      </w:pPr>
      <w:r w:rsidRPr="00F9496C">
        <w:rPr>
          <w:lang w:val="es-ES"/>
        </w:rPr>
        <w:t xml:space="preserve">Las personas aprobadas para el desempleo </w:t>
      </w:r>
      <w:r>
        <w:rPr>
          <w:lang w:val="es-ES"/>
        </w:rPr>
        <w:t>tal vez necesiten</w:t>
      </w:r>
      <w:r w:rsidRPr="00F9496C">
        <w:rPr>
          <w:lang w:val="es-ES"/>
        </w:rPr>
        <w:t xml:space="preserve"> informar los ingresos de UI a la agencia estatal.</w:t>
      </w:r>
    </w:p>
    <w:p w14:paraId="792B54AA" w14:textId="26C5F94B" w:rsidR="00BB494C" w:rsidRDefault="00F9496C" w:rsidP="00F9496C">
      <w:pPr>
        <w:jc w:val="center"/>
        <w:rPr>
          <w:lang w:val="es-ES"/>
        </w:rPr>
      </w:pPr>
      <w:r w:rsidRPr="00F9496C">
        <w:rPr>
          <w:lang w:val="es-ES"/>
        </w:rPr>
        <w:t>Los beneficios del ingreso de UI pueden afectar los beneficios de SNAP, Medicaid o TANF.</w:t>
      </w:r>
    </w:p>
    <w:p w14:paraId="6BC06F34" w14:textId="77777777" w:rsidR="00F9496C" w:rsidRPr="004F24DC" w:rsidRDefault="00F9496C" w:rsidP="00F9496C">
      <w:pPr>
        <w:jc w:val="center"/>
        <w:rPr>
          <w:b/>
          <w:sz w:val="24"/>
          <w:szCs w:val="24"/>
          <w:lang w:val="es-ES"/>
        </w:rPr>
      </w:pPr>
    </w:p>
    <w:p w14:paraId="0E5BEB9B" w14:textId="65403865" w:rsidR="00BB494C" w:rsidRDefault="00F9496C" w:rsidP="00F9496C">
      <w:pPr>
        <w:jc w:val="center"/>
      </w:pPr>
      <w:r w:rsidRPr="00F9496C">
        <w:rPr>
          <w:b/>
          <w:sz w:val="24"/>
          <w:szCs w:val="24"/>
        </w:rPr>
        <w:t>IMPACTO EN BENEFICIOS ESPECÍFICOS</w:t>
      </w:r>
    </w:p>
    <w:p w14:paraId="776A57DF" w14:textId="77777777" w:rsidR="00BB494C" w:rsidRDefault="00810B5A">
      <w:pPr>
        <w:numPr>
          <w:ilvl w:val="0"/>
          <w:numId w:val="14"/>
        </w:numPr>
      </w:pPr>
      <w:r>
        <w:t>SNAP</w:t>
      </w:r>
    </w:p>
    <w:p w14:paraId="5569BA09" w14:textId="5D2C15C0" w:rsidR="00F9496C" w:rsidRPr="00F9496C" w:rsidRDefault="00F9496C" w:rsidP="00F9496C">
      <w:pPr>
        <w:numPr>
          <w:ilvl w:val="0"/>
          <w:numId w:val="4"/>
        </w:numPr>
        <w:rPr>
          <w:lang w:val="es-ES"/>
        </w:rPr>
      </w:pPr>
      <w:r w:rsidRPr="00F9496C">
        <w:rPr>
          <w:lang w:val="es-ES"/>
        </w:rPr>
        <w:t>Todos los beneficios de desempleo, incluidos $600 adicionales por semana, cuentan como ingresos</w:t>
      </w:r>
    </w:p>
    <w:p w14:paraId="5412C2DC" w14:textId="02CF92A1" w:rsidR="00F9496C" w:rsidRPr="00F9496C" w:rsidRDefault="00F9496C" w:rsidP="00F9496C">
      <w:pPr>
        <w:numPr>
          <w:ilvl w:val="0"/>
          <w:numId w:val="4"/>
        </w:numPr>
        <w:rPr>
          <w:lang w:val="es-ES"/>
        </w:rPr>
      </w:pPr>
      <w:r w:rsidRPr="00F9496C">
        <w:rPr>
          <w:lang w:val="es-ES"/>
        </w:rPr>
        <w:t>Los beneficios de desempleo pueden reducir los beneficios de SNAP para el hogar. Pueden continuar recibiendo el beneficio máximo si el Estado está emitiendo asignaciones de emergencia durante COVID-19.</w:t>
      </w:r>
    </w:p>
    <w:p w14:paraId="67D2F86B" w14:textId="24EAC248" w:rsidR="00F9496C" w:rsidRPr="00F9496C" w:rsidRDefault="00F9496C" w:rsidP="00F9496C">
      <w:pPr>
        <w:numPr>
          <w:ilvl w:val="0"/>
          <w:numId w:val="4"/>
        </w:numPr>
        <w:rPr>
          <w:lang w:val="es-ES"/>
        </w:rPr>
      </w:pPr>
      <w:r w:rsidRPr="00F9496C">
        <w:rPr>
          <w:lang w:val="es-ES"/>
        </w:rPr>
        <w:t xml:space="preserve">Para otros hogares, </w:t>
      </w:r>
      <w:r>
        <w:rPr>
          <w:lang w:val="es-ES"/>
        </w:rPr>
        <w:t>los beneficios del</w:t>
      </w:r>
      <w:r w:rsidRPr="00F9496C">
        <w:rPr>
          <w:lang w:val="es-ES"/>
        </w:rPr>
        <w:t xml:space="preserve"> desempleo pueden hacer que no sean elegibles.</w:t>
      </w:r>
    </w:p>
    <w:p w14:paraId="6A2B3430" w14:textId="77777777" w:rsidR="00BB494C" w:rsidRDefault="00810B5A">
      <w:pPr>
        <w:numPr>
          <w:ilvl w:val="0"/>
          <w:numId w:val="14"/>
        </w:numPr>
      </w:pPr>
      <w:r>
        <w:t>Medicaid</w:t>
      </w:r>
    </w:p>
    <w:p w14:paraId="5427543E" w14:textId="77777777" w:rsidR="00F9496C" w:rsidRPr="00F9496C" w:rsidRDefault="00F9496C" w:rsidP="00F9496C">
      <w:pPr>
        <w:numPr>
          <w:ilvl w:val="0"/>
          <w:numId w:val="11"/>
        </w:numPr>
        <w:rPr>
          <w:lang w:val="es-ES"/>
        </w:rPr>
      </w:pPr>
      <w:r w:rsidRPr="00F9496C">
        <w:rPr>
          <w:lang w:val="es-ES"/>
        </w:rPr>
        <w:t>Los estados deben mantener a los afiliados cubiertos hasta el final de la emergencia de salud como condición para recibir mayores fondos federales de Medicaid.</w:t>
      </w:r>
    </w:p>
    <w:p w14:paraId="03D7BB9F" w14:textId="48542D35" w:rsidR="00F9496C" w:rsidRPr="00F9496C" w:rsidRDefault="00F9496C" w:rsidP="00F9496C">
      <w:pPr>
        <w:numPr>
          <w:ilvl w:val="0"/>
          <w:numId w:val="11"/>
        </w:numPr>
        <w:rPr>
          <w:lang w:val="es-ES"/>
        </w:rPr>
      </w:pPr>
      <w:r w:rsidRPr="00F9496C">
        <w:rPr>
          <w:lang w:val="es-ES"/>
        </w:rPr>
        <w:t>Los afiliados a Medicaid que comienzan a recibir desempleo no deben perder Medicaid.</w:t>
      </w:r>
    </w:p>
    <w:p w14:paraId="79E2A842" w14:textId="0A8C18D5" w:rsidR="00F9496C" w:rsidRPr="00F9496C" w:rsidRDefault="00F9496C" w:rsidP="00F9496C">
      <w:pPr>
        <w:numPr>
          <w:ilvl w:val="0"/>
          <w:numId w:val="11"/>
        </w:numPr>
        <w:rPr>
          <w:lang w:val="es-ES"/>
        </w:rPr>
      </w:pPr>
      <w:r w:rsidRPr="00F9496C">
        <w:rPr>
          <w:lang w:val="es-ES"/>
        </w:rPr>
        <w:t xml:space="preserve">$600 </w:t>
      </w:r>
      <w:r>
        <w:rPr>
          <w:lang w:val="es-ES"/>
        </w:rPr>
        <w:t>por semana como desempleo adicional</w:t>
      </w:r>
      <w:r w:rsidRPr="00F9496C">
        <w:rPr>
          <w:lang w:val="es-ES"/>
        </w:rPr>
        <w:t xml:space="preserve"> no cuenta como ingreso.</w:t>
      </w:r>
    </w:p>
    <w:p w14:paraId="4D6E015F" w14:textId="77777777" w:rsidR="00BB494C" w:rsidRDefault="00810B5A">
      <w:pPr>
        <w:numPr>
          <w:ilvl w:val="0"/>
          <w:numId w:val="14"/>
        </w:numPr>
      </w:pPr>
      <w:r>
        <w:t>TANF</w:t>
      </w:r>
    </w:p>
    <w:p w14:paraId="19580E4E" w14:textId="2401E2F9" w:rsidR="00F9496C" w:rsidRPr="00F9496C" w:rsidRDefault="00F9496C" w:rsidP="00F9496C">
      <w:pPr>
        <w:numPr>
          <w:ilvl w:val="0"/>
          <w:numId w:val="8"/>
        </w:numPr>
        <w:rPr>
          <w:bCs/>
          <w:lang w:val="es-ES"/>
        </w:rPr>
      </w:pPr>
      <w:r w:rsidRPr="00F9496C">
        <w:rPr>
          <w:bCs/>
          <w:lang w:val="es-ES"/>
        </w:rPr>
        <w:t>Los estados tienen flexibilidad para considerar los ingresos.</w:t>
      </w:r>
    </w:p>
    <w:p w14:paraId="6229972F" w14:textId="340A7E7E" w:rsidR="00F9496C" w:rsidRPr="00F9496C" w:rsidRDefault="00F9496C" w:rsidP="00F9496C">
      <w:pPr>
        <w:numPr>
          <w:ilvl w:val="0"/>
          <w:numId w:val="8"/>
        </w:numPr>
        <w:rPr>
          <w:bCs/>
          <w:lang w:val="es-ES"/>
        </w:rPr>
      </w:pPr>
      <w:r w:rsidRPr="00F9496C">
        <w:rPr>
          <w:bCs/>
          <w:lang w:val="es-ES"/>
        </w:rPr>
        <w:t>Los estados generalmente tratan los beneficios de desempleo como ingresos</w:t>
      </w:r>
    </w:p>
    <w:p w14:paraId="7099BF89" w14:textId="46714F92" w:rsidR="00F9496C" w:rsidRPr="00F9496C" w:rsidRDefault="00F9496C" w:rsidP="00F9496C">
      <w:pPr>
        <w:numPr>
          <w:ilvl w:val="0"/>
          <w:numId w:val="8"/>
        </w:numPr>
        <w:rPr>
          <w:bCs/>
          <w:lang w:val="es-ES"/>
        </w:rPr>
      </w:pPr>
      <w:r w:rsidRPr="00F9496C">
        <w:rPr>
          <w:bCs/>
          <w:lang w:val="es-ES"/>
        </w:rPr>
        <w:t>La recepción del desempleo probablemente hará que un hogar no sea elegible, a menos que el Estado decida excluir el desempleo de la Ley CARES como ayuda por desastre.</w:t>
      </w:r>
    </w:p>
    <w:p w14:paraId="5555E653" w14:textId="0869C31E" w:rsidR="00F9496C" w:rsidRPr="00F9496C" w:rsidRDefault="00F9496C" w:rsidP="00F9496C">
      <w:pPr>
        <w:numPr>
          <w:ilvl w:val="0"/>
          <w:numId w:val="8"/>
        </w:numPr>
        <w:rPr>
          <w:b/>
          <w:lang w:val="es-ES"/>
        </w:rPr>
      </w:pPr>
      <w:r w:rsidRPr="00F9496C">
        <w:rPr>
          <w:b/>
          <w:lang w:val="es-ES"/>
        </w:rPr>
        <w:t>Mississippi no excluye el desempleo bajo la Ley CARES como ayuda por desastre</w:t>
      </w:r>
    </w:p>
    <w:p w14:paraId="1DC4E9AF" w14:textId="087521B1" w:rsidR="00F9496C" w:rsidRPr="00F9496C" w:rsidRDefault="00F9496C" w:rsidP="00F9496C">
      <w:pPr>
        <w:numPr>
          <w:ilvl w:val="0"/>
          <w:numId w:val="8"/>
        </w:numPr>
        <w:rPr>
          <w:b/>
          <w:lang w:val="es-ES"/>
        </w:rPr>
      </w:pPr>
      <w:r w:rsidRPr="00F9496C">
        <w:rPr>
          <w:b/>
          <w:lang w:val="es-ES"/>
        </w:rPr>
        <w:t>En Mississippi, el solicitante no debe poseer ninguna propiedad (excepto la casa) ni tener efectivo o recursos con un valor combinado superior a $2000</w:t>
      </w:r>
    </w:p>
    <w:p w14:paraId="2285F9F9" w14:textId="109A29AB" w:rsidR="00BB494C" w:rsidRDefault="00BB494C">
      <w:pPr>
        <w:rPr>
          <w:lang w:val="es-ES"/>
        </w:rPr>
      </w:pPr>
    </w:p>
    <w:p w14:paraId="053D389A" w14:textId="18B11742" w:rsidR="00F9496C" w:rsidRDefault="00F9496C">
      <w:pPr>
        <w:rPr>
          <w:lang w:val="es-ES"/>
        </w:rPr>
      </w:pPr>
    </w:p>
    <w:p w14:paraId="5CD5F200" w14:textId="77777777" w:rsidR="00F9496C" w:rsidRPr="00F9496C" w:rsidRDefault="00F9496C">
      <w:pPr>
        <w:rPr>
          <w:lang w:val="es-ES"/>
        </w:rPr>
      </w:pPr>
    </w:p>
    <w:p w14:paraId="08D37B7C" w14:textId="77777777" w:rsidR="00BB494C" w:rsidRPr="00F9496C" w:rsidRDefault="00BB494C">
      <w:pPr>
        <w:rPr>
          <w:b/>
          <w:sz w:val="24"/>
          <w:szCs w:val="24"/>
          <w:lang w:val="es-ES"/>
        </w:rPr>
      </w:pPr>
    </w:p>
    <w:p w14:paraId="3434F61A" w14:textId="5101804A" w:rsidR="00BB494C" w:rsidRDefault="008E53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REQURIMIENTOS DE </w:t>
      </w:r>
      <w:r w:rsidR="004F24DC">
        <w:rPr>
          <w:b/>
          <w:sz w:val="24"/>
          <w:szCs w:val="24"/>
        </w:rPr>
        <w:t>REPORTAR</w:t>
      </w:r>
    </w:p>
    <w:p w14:paraId="5BCDEC33" w14:textId="5E8A216A" w:rsidR="007B04C6" w:rsidRDefault="007B04C6" w:rsidP="007B04C6">
      <w:pPr>
        <w:numPr>
          <w:ilvl w:val="0"/>
          <w:numId w:val="2"/>
        </w:numPr>
        <w:rPr>
          <w:lang w:val="es-ES"/>
        </w:rPr>
      </w:pPr>
      <w:r w:rsidRPr="007B04C6">
        <w:rPr>
          <w:lang w:val="es-ES"/>
        </w:rPr>
        <w:t>Muchos estados tienen un sistema donde los beneficios estatales por desempleo se informan automáticamente a otra agencia</w:t>
      </w:r>
    </w:p>
    <w:p w14:paraId="05EB386D" w14:textId="04538858" w:rsidR="007B04C6" w:rsidRDefault="007B04C6" w:rsidP="007B04C6">
      <w:pPr>
        <w:numPr>
          <w:ilvl w:val="0"/>
          <w:numId w:val="2"/>
        </w:numPr>
        <w:rPr>
          <w:lang w:val="es-ES"/>
        </w:rPr>
      </w:pPr>
      <w:r w:rsidRPr="007B04C6">
        <w:rPr>
          <w:lang w:val="es-ES"/>
        </w:rPr>
        <w:t>Los nuevos beneficios de $600 y otros nuevos beneficios de UI pueden no informarse en el sistema automatizado</w:t>
      </w:r>
    </w:p>
    <w:p w14:paraId="2BE05430" w14:textId="4907E4F9" w:rsidR="007B04C6" w:rsidRDefault="007B04C6" w:rsidP="007B04C6">
      <w:pPr>
        <w:numPr>
          <w:ilvl w:val="0"/>
          <w:numId w:val="2"/>
        </w:numPr>
        <w:rPr>
          <w:lang w:val="es-ES"/>
        </w:rPr>
      </w:pPr>
      <w:r w:rsidRPr="007B04C6">
        <w:rPr>
          <w:lang w:val="es-ES"/>
        </w:rPr>
        <w:t>Es posible que los clientes necesiten informar sobre la IU si el sistema de estado no coincide completamente con los datos.</w:t>
      </w:r>
    </w:p>
    <w:p w14:paraId="5835609E" w14:textId="60A35BCD" w:rsidR="00BB494C" w:rsidRPr="007B04C6" w:rsidRDefault="007B04C6" w:rsidP="007B04C6">
      <w:pPr>
        <w:numPr>
          <w:ilvl w:val="0"/>
          <w:numId w:val="2"/>
        </w:numPr>
        <w:rPr>
          <w:b/>
          <w:bCs/>
          <w:lang w:val="es-ES"/>
        </w:rPr>
      </w:pPr>
      <w:r w:rsidRPr="007B04C6">
        <w:rPr>
          <w:b/>
          <w:bCs/>
          <w:lang w:val="es-ES"/>
        </w:rPr>
        <w:t>Mississippi tiene un sistema automatizado de coincidencia de datos llamado IVES que informa y coincide con la información de la agencia.</w:t>
      </w:r>
    </w:p>
    <w:p w14:paraId="12C871CE" w14:textId="77777777" w:rsidR="00BB494C" w:rsidRDefault="00810B5A">
      <w:pPr>
        <w:rPr>
          <w:b/>
        </w:rPr>
      </w:pPr>
      <w:r>
        <w:rPr>
          <w:b/>
        </w:rPr>
        <w:t>SNAP</w:t>
      </w:r>
    </w:p>
    <w:p w14:paraId="7F2C2AB3" w14:textId="04411C89" w:rsidR="007B04C6" w:rsidRDefault="007B04C6" w:rsidP="007B04C6">
      <w:pPr>
        <w:numPr>
          <w:ilvl w:val="0"/>
          <w:numId w:val="13"/>
        </w:numPr>
        <w:rPr>
          <w:bCs/>
          <w:lang w:val="es-ES"/>
        </w:rPr>
      </w:pPr>
      <w:r w:rsidRPr="007B04C6">
        <w:rPr>
          <w:bCs/>
          <w:lang w:val="es-ES"/>
        </w:rPr>
        <w:t>Debe informar cambios cuando el ingreso excede el 130% de la pobreza para el tamaño del hogar</w:t>
      </w:r>
    </w:p>
    <w:p w14:paraId="5C6F098A" w14:textId="34CBACB9" w:rsidR="007B04C6" w:rsidRDefault="007B04C6" w:rsidP="007B04C6">
      <w:pPr>
        <w:numPr>
          <w:ilvl w:val="0"/>
          <w:numId w:val="13"/>
        </w:numPr>
        <w:rPr>
          <w:bCs/>
          <w:lang w:val="es-ES"/>
        </w:rPr>
      </w:pPr>
      <w:r w:rsidRPr="007B04C6">
        <w:rPr>
          <w:bCs/>
          <w:lang w:val="es-ES"/>
        </w:rPr>
        <w:t>UI adicional de $600 por semana, puede poner a la familia por encima de la elegibilidad y la familia debe informar el cambio.</w:t>
      </w:r>
    </w:p>
    <w:p w14:paraId="2ACDDE5B" w14:textId="3731BE84" w:rsidR="007B04C6" w:rsidRDefault="007B04C6" w:rsidP="007B04C6">
      <w:pPr>
        <w:numPr>
          <w:ilvl w:val="0"/>
          <w:numId w:val="13"/>
        </w:numPr>
        <w:rPr>
          <w:bCs/>
          <w:lang w:val="es-ES"/>
        </w:rPr>
      </w:pPr>
      <w:r w:rsidRPr="007B04C6">
        <w:rPr>
          <w:bCs/>
          <w:lang w:val="es-ES"/>
        </w:rPr>
        <w:t>Deberá informar el cambio dentro de los 10 días posteriores a la recepción de la IU</w:t>
      </w:r>
    </w:p>
    <w:p w14:paraId="36D82020" w14:textId="7A99074D" w:rsidR="007B04C6" w:rsidRDefault="007B04C6" w:rsidP="007B04C6">
      <w:pPr>
        <w:numPr>
          <w:ilvl w:val="0"/>
          <w:numId w:val="13"/>
        </w:numPr>
        <w:rPr>
          <w:bCs/>
          <w:lang w:val="es-ES"/>
        </w:rPr>
      </w:pPr>
      <w:r w:rsidRPr="007B04C6">
        <w:rPr>
          <w:bCs/>
          <w:lang w:val="es-ES"/>
        </w:rPr>
        <w:t>Si hay una prueba de activos, un pago global puede contarse como un activo</w:t>
      </w:r>
    </w:p>
    <w:p w14:paraId="1C554804" w14:textId="1DE8BAD0" w:rsidR="007B04C6" w:rsidRPr="007B04C6" w:rsidRDefault="007B04C6" w:rsidP="007B04C6">
      <w:pPr>
        <w:numPr>
          <w:ilvl w:val="0"/>
          <w:numId w:val="13"/>
        </w:numPr>
        <w:rPr>
          <w:bCs/>
          <w:lang w:val="es-ES"/>
        </w:rPr>
      </w:pPr>
      <w:r w:rsidRPr="007B04C6">
        <w:rPr>
          <w:b/>
          <w:lang w:val="es-ES"/>
        </w:rPr>
        <w:t>Mississippi no tiene una prueba de activos, pero sí cuenta con recursos como efectivo en efectivo y valor de equidad de $1500 en seguros funerarios.</w:t>
      </w:r>
    </w:p>
    <w:p w14:paraId="195BDCD7" w14:textId="1483C706" w:rsidR="007B04C6" w:rsidRPr="007B04C6" w:rsidRDefault="007B04C6" w:rsidP="007B04C6">
      <w:pPr>
        <w:numPr>
          <w:ilvl w:val="0"/>
          <w:numId w:val="13"/>
        </w:numPr>
        <w:rPr>
          <w:bCs/>
          <w:lang w:val="es-ES"/>
        </w:rPr>
      </w:pPr>
      <w:r w:rsidRPr="007B04C6">
        <w:rPr>
          <w:b/>
          <w:lang w:val="es-ES"/>
        </w:rPr>
        <w:t xml:space="preserve"> En Mississippi, un pago de suma global puede resultar en la pérdida de elegibilidad por uno o más meses, si el pago se agrega a otros recursos contables y el total excede la limitación de $2000.</w:t>
      </w:r>
    </w:p>
    <w:p w14:paraId="7AAB06D7" w14:textId="6796A599" w:rsidR="00BB494C" w:rsidRPr="007B04C6" w:rsidRDefault="00810B5A" w:rsidP="007B04C6">
      <w:pPr>
        <w:rPr>
          <w:b/>
          <w:lang w:val="es-ES"/>
        </w:rPr>
      </w:pPr>
      <w:r w:rsidRPr="007B04C6">
        <w:rPr>
          <w:b/>
          <w:lang w:val="es-ES"/>
        </w:rPr>
        <w:t>Medicaid</w:t>
      </w:r>
    </w:p>
    <w:p w14:paraId="41976B70" w14:textId="20746AEB" w:rsidR="007B04C6" w:rsidRDefault="007B04C6" w:rsidP="007B04C6">
      <w:pPr>
        <w:numPr>
          <w:ilvl w:val="0"/>
          <w:numId w:val="5"/>
        </w:numPr>
        <w:rPr>
          <w:lang w:val="es-ES"/>
        </w:rPr>
      </w:pPr>
      <w:r w:rsidRPr="007B04C6">
        <w:rPr>
          <w:lang w:val="es-ES"/>
        </w:rPr>
        <w:t>Generalmente, debe informar los cambios que afectan la elegibilidad</w:t>
      </w:r>
    </w:p>
    <w:p w14:paraId="69016FFE" w14:textId="6DBCD3E8" w:rsidR="007B04C6" w:rsidRDefault="007B04C6" w:rsidP="007B04C6">
      <w:pPr>
        <w:numPr>
          <w:ilvl w:val="0"/>
          <w:numId w:val="5"/>
        </w:numPr>
        <w:rPr>
          <w:lang w:val="es-ES"/>
        </w:rPr>
      </w:pPr>
      <w:r w:rsidRPr="007B04C6">
        <w:rPr>
          <w:lang w:val="es-ES"/>
        </w:rPr>
        <w:t>Dado que los beneficiarios no pueden perder su cobertura en este momento, incluso si hay un aumento en los ingresos, no deberían tener que reportar desempleo.</w:t>
      </w:r>
    </w:p>
    <w:p w14:paraId="63517BA2" w14:textId="4800E20C" w:rsidR="007B04C6" w:rsidRDefault="007B04C6" w:rsidP="007B04C6">
      <w:pPr>
        <w:numPr>
          <w:ilvl w:val="0"/>
          <w:numId w:val="5"/>
        </w:numPr>
        <w:rPr>
          <w:lang w:val="es-ES"/>
        </w:rPr>
      </w:pPr>
      <w:r w:rsidRPr="007B04C6">
        <w:rPr>
          <w:lang w:val="es-ES"/>
        </w:rPr>
        <w:t>Un pago de suma global generalmente se considera como ingreso en el mes recibido, pero un pago de suma global en este momento no afectará la elegibilidad.</w:t>
      </w:r>
    </w:p>
    <w:p w14:paraId="7A57D7F9" w14:textId="0DC540BE" w:rsidR="00BB494C" w:rsidRPr="007B04C6" w:rsidRDefault="00810B5A" w:rsidP="007B04C6">
      <w:pPr>
        <w:rPr>
          <w:lang w:val="es-ES"/>
        </w:rPr>
      </w:pPr>
      <w:r w:rsidRPr="007B04C6">
        <w:rPr>
          <w:b/>
          <w:lang w:val="es-ES"/>
        </w:rPr>
        <w:t>TANF</w:t>
      </w:r>
    </w:p>
    <w:p w14:paraId="27D4080C" w14:textId="60313172" w:rsidR="007B04C6" w:rsidRPr="007B04C6" w:rsidRDefault="007B04C6" w:rsidP="007B04C6">
      <w:pPr>
        <w:numPr>
          <w:ilvl w:val="0"/>
          <w:numId w:val="1"/>
        </w:numPr>
        <w:rPr>
          <w:lang w:val="es-ES"/>
        </w:rPr>
      </w:pPr>
      <w:r w:rsidRPr="007B04C6">
        <w:rPr>
          <w:lang w:val="es-ES"/>
        </w:rPr>
        <w:t>Varía según el estado, pero en la mayoría de las situaciones, debe informar al recibir el desempleo.</w:t>
      </w:r>
    </w:p>
    <w:p w14:paraId="0BED14F4" w14:textId="4CCFA033" w:rsidR="00BB494C" w:rsidRPr="005F606A" w:rsidRDefault="007B04C6" w:rsidP="007B04C6">
      <w:pPr>
        <w:numPr>
          <w:ilvl w:val="0"/>
          <w:numId w:val="1"/>
        </w:numPr>
        <w:rPr>
          <w:b/>
          <w:bCs/>
          <w:lang w:val="es-ES"/>
        </w:rPr>
      </w:pPr>
      <w:r w:rsidRPr="005F606A">
        <w:rPr>
          <w:b/>
          <w:bCs/>
          <w:lang w:val="es-ES"/>
        </w:rPr>
        <w:t>Mississippi requiere que los receptores informen todos y cada uno de los ingresos.</w:t>
      </w:r>
    </w:p>
    <w:p w14:paraId="21498DAA" w14:textId="77777777" w:rsidR="00BB494C" w:rsidRPr="007B04C6" w:rsidRDefault="00BB494C">
      <w:pPr>
        <w:rPr>
          <w:lang w:val="es-ES"/>
        </w:rPr>
      </w:pPr>
    </w:p>
    <w:p w14:paraId="1DCC6F01" w14:textId="77777777" w:rsidR="00BB494C" w:rsidRPr="007B04C6" w:rsidRDefault="00BB494C">
      <w:pPr>
        <w:rPr>
          <w:lang w:val="es-ES"/>
        </w:rPr>
      </w:pPr>
    </w:p>
    <w:p w14:paraId="46CB2E56" w14:textId="77777777" w:rsidR="00BB494C" w:rsidRPr="007B04C6" w:rsidRDefault="00BB494C">
      <w:pPr>
        <w:rPr>
          <w:lang w:val="es-ES"/>
        </w:rPr>
      </w:pPr>
    </w:p>
    <w:sectPr w:rsidR="00BB494C" w:rsidRPr="007B04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38F07" w14:textId="77777777" w:rsidR="004F7661" w:rsidRDefault="004F7661">
      <w:pPr>
        <w:spacing w:line="240" w:lineRule="auto"/>
      </w:pPr>
      <w:r>
        <w:separator/>
      </w:r>
    </w:p>
  </w:endnote>
  <w:endnote w:type="continuationSeparator" w:id="0">
    <w:p w14:paraId="0AA10EDA" w14:textId="77777777" w:rsidR="004F7661" w:rsidRDefault="004F7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91391" w14:textId="4C92757F" w:rsidR="00BB494C" w:rsidRPr="005F606A" w:rsidRDefault="00810B5A">
    <w:pPr>
      <w:jc w:val="center"/>
      <w:rPr>
        <w:b/>
        <w:sz w:val="20"/>
        <w:szCs w:val="20"/>
        <w:lang w:val="es-ES"/>
      </w:rPr>
    </w:pPr>
    <w:r w:rsidRPr="005F606A">
      <w:rPr>
        <w:b/>
        <w:sz w:val="20"/>
        <w:szCs w:val="20"/>
        <w:lang w:val="es-ES"/>
      </w:rPr>
      <w:t>Contact</w:t>
    </w:r>
    <w:r w:rsidR="005F606A" w:rsidRPr="005F606A">
      <w:rPr>
        <w:b/>
        <w:sz w:val="20"/>
        <w:szCs w:val="20"/>
        <w:lang w:val="es-ES"/>
      </w:rPr>
      <w:t>e</w:t>
    </w:r>
    <w:r w:rsidRPr="005F606A">
      <w:rPr>
        <w:b/>
        <w:sz w:val="20"/>
        <w:szCs w:val="20"/>
        <w:lang w:val="es-ES"/>
      </w:rPr>
      <w:t xml:space="preserve"> </w:t>
    </w:r>
    <w:r w:rsidR="005F606A" w:rsidRPr="005F606A">
      <w:rPr>
        <w:b/>
        <w:sz w:val="20"/>
        <w:szCs w:val="20"/>
        <w:lang w:val="es-ES"/>
      </w:rPr>
      <w:t>a el Centro de Servicios Legales de MS</w:t>
    </w:r>
    <w:r w:rsidRPr="005F606A">
      <w:rPr>
        <w:b/>
        <w:sz w:val="20"/>
        <w:szCs w:val="20"/>
        <w:lang w:val="es-ES"/>
      </w:rPr>
      <w:t xml:space="preserve"> a</w:t>
    </w:r>
    <w:r w:rsidR="005F606A" w:rsidRPr="005F606A">
      <w:rPr>
        <w:b/>
        <w:sz w:val="20"/>
        <w:szCs w:val="20"/>
        <w:lang w:val="es-ES"/>
      </w:rPr>
      <w:t>l</w:t>
    </w:r>
    <w:r w:rsidRPr="005F606A">
      <w:rPr>
        <w:b/>
        <w:sz w:val="20"/>
        <w:szCs w:val="20"/>
        <w:lang w:val="es-ES"/>
      </w:rPr>
      <w:t xml:space="preserve"> 800-498-1804 o</w:t>
    </w:r>
    <w:r w:rsidR="005F606A" w:rsidRPr="005F606A">
      <w:rPr>
        <w:b/>
        <w:sz w:val="20"/>
        <w:szCs w:val="20"/>
        <w:lang w:val="es-ES"/>
      </w:rPr>
      <w:t xml:space="preserve"> </w:t>
    </w:r>
    <w:r w:rsidR="005F606A">
      <w:rPr>
        <w:b/>
        <w:sz w:val="20"/>
        <w:szCs w:val="20"/>
        <w:lang w:val="es-ES"/>
      </w:rPr>
      <w:t>en línea para más recursos</w:t>
    </w:r>
  </w:p>
  <w:p w14:paraId="1EC08C27" w14:textId="77777777" w:rsidR="00BB494C" w:rsidRDefault="00810B5A">
    <w:pPr>
      <w:jc w:val="center"/>
    </w:pPr>
    <w:r>
      <w:rPr>
        <w:sz w:val="20"/>
        <w:szCs w:val="20"/>
      </w:rPr>
      <w:t>http://www.mscenterforlegalservices.org/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CF71C" w14:textId="77777777" w:rsidR="004F7661" w:rsidRDefault="004F7661">
      <w:pPr>
        <w:spacing w:line="240" w:lineRule="auto"/>
      </w:pPr>
      <w:r>
        <w:separator/>
      </w:r>
    </w:p>
  </w:footnote>
  <w:footnote w:type="continuationSeparator" w:id="0">
    <w:p w14:paraId="4F4EABCF" w14:textId="77777777" w:rsidR="004F7661" w:rsidRDefault="004F76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09B52" w14:textId="77777777" w:rsidR="00BB494C" w:rsidRDefault="00810B5A">
    <w:pPr>
      <w:ind w:firstLine="72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A685232" wp14:editId="7F260587">
          <wp:simplePos x="0" y="0"/>
          <wp:positionH relativeFrom="page">
            <wp:posOffset>5314950</wp:posOffset>
          </wp:positionH>
          <wp:positionV relativeFrom="page">
            <wp:posOffset>257175</wp:posOffset>
          </wp:positionV>
          <wp:extent cx="2043113" cy="551460"/>
          <wp:effectExtent l="0" t="0" r="0" b="0"/>
          <wp:wrapTopAndBottom distT="114300" distB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3113" cy="5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3E59"/>
    <w:multiLevelType w:val="multilevel"/>
    <w:tmpl w:val="1CC62C8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AB94FA6"/>
    <w:multiLevelType w:val="multilevel"/>
    <w:tmpl w:val="8DE400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83583C"/>
    <w:multiLevelType w:val="multilevel"/>
    <w:tmpl w:val="7E0875D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DDA3DB3"/>
    <w:multiLevelType w:val="multilevel"/>
    <w:tmpl w:val="7FD694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C517C8"/>
    <w:multiLevelType w:val="multilevel"/>
    <w:tmpl w:val="F1921A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C52ADA"/>
    <w:multiLevelType w:val="multilevel"/>
    <w:tmpl w:val="50D2F95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32C2012"/>
    <w:multiLevelType w:val="multilevel"/>
    <w:tmpl w:val="09B0F6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7E27D3E"/>
    <w:multiLevelType w:val="multilevel"/>
    <w:tmpl w:val="F5AC932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4E473529"/>
    <w:multiLevelType w:val="multilevel"/>
    <w:tmpl w:val="28DA7D1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32D1BF3"/>
    <w:multiLevelType w:val="multilevel"/>
    <w:tmpl w:val="EBEA08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D15ED8"/>
    <w:multiLevelType w:val="multilevel"/>
    <w:tmpl w:val="8D1AB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43C1AD0"/>
    <w:multiLevelType w:val="multilevel"/>
    <w:tmpl w:val="CACEE5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6E4E68"/>
    <w:multiLevelType w:val="multilevel"/>
    <w:tmpl w:val="7E76E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652768C"/>
    <w:multiLevelType w:val="multilevel"/>
    <w:tmpl w:val="334434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D2B1B60"/>
    <w:multiLevelType w:val="multilevel"/>
    <w:tmpl w:val="F5844B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13"/>
  </w:num>
  <w:num w:numId="6">
    <w:abstractNumId w:val="14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94C"/>
    <w:rsid w:val="00201209"/>
    <w:rsid w:val="00497568"/>
    <w:rsid w:val="004F24DC"/>
    <w:rsid w:val="004F7661"/>
    <w:rsid w:val="005F606A"/>
    <w:rsid w:val="007B04C6"/>
    <w:rsid w:val="00810B5A"/>
    <w:rsid w:val="00842670"/>
    <w:rsid w:val="008E530D"/>
    <w:rsid w:val="00B14ECF"/>
    <w:rsid w:val="00BB494C"/>
    <w:rsid w:val="00CF5B56"/>
    <w:rsid w:val="00EC45E5"/>
    <w:rsid w:val="00EF58FB"/>
    <w:rsid w:val="00F9496C"/>
    <w:rsid w:val="00F9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CE5C"/>
  <w15:docId w15:val="{B7CECFC5-4E6D-4081-B37C-80AA83C1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F5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0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6A"/>
  </w:style>
  <w:style w:type="paragraph" w:styleId="Footer">
    <w:name w:val="footer"/>
    <w:basedOn w:val="Normal"/>
    <w:link w:val="FooterChar"/>
    <w:uiPriority w:val="99"/>
    <w:unhideWhenUsed/>
    <w:rsid w:val="005F60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07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09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EdwardsLaw</dc:creator>
  <cp:lastModifiedBy>Edwards Law</cp:lastModifiedBy>
  <cp:revision>4</cp:revision>
  <dcterms:created xsi:type="dcterms:W3CDTF">2020-05-28T15:00:00Z</dcterms:created>
  <dcterms:modified xsi:type="dcterms:W3CDTF">2020-05-28T15:39:00Z</dcterms:modified>
</cp:coreProperties>
</file>